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0458E" w14:textId="5D7D0109" w:rsidR="00E22AD0" w:rsidRDefault="00766FE7" w:rsidP="00766FE7">
      <w:pPr>
        <w:autoSpaceDE w:val="0"/>
        <w:autoSpaceDN w:val="0"/>
        <w:adjustRightInd w:val="0"/>
        <w:spacing w:after="0" w:line="240" w:lineRule="auto"/>
        <w:jc w:val="both"/>
        <w:rPr>
          <w:rFonts w:cs="Verdana-Bold"/>
          <w:bCs/>
          <w:i/>
          <w:sz w:val="24"/>
          <w:szCs w:val="24"/>
          <w:lang w:val="es-ES"/>
        </w:rPr>
      </w:pPr>
      <w:r w:rsidRPr="00766FE7">
        <w:rPr>
          <w:rFonts w:eastAsia="Times New Roman" w:cs="Times New Roman"/>
          <w:b/>
          <w:color w:val="2F5496" w:themeColor="accent1" w:themeShade="BF"/>
          <w:sz w:val="32"/>
          <w:szCs w:val="32"/>
          <w:lang w:val="es-ES" w:eastAsia="es-ES"/>
        </w:rPr>
        <w:t>PROGRAMA DE APOYO A LOS CENTROS TECNOLÓGICOS PARA LA REALIZACIÓN DE ACTIVIDADES</w:t>
      </w:r>
      <w:r>
        <w:rPr>
          <w:rFonts w:eastAsia="Times New Roman" w:cs="Times New Roman"/>
          <w:b/>
          <w:color w:val="2F5496" w:themeColor="accent1" w:themeShade="BF"/>
          <w:sz w:val="32"/>
          <w:szCs w:val="32"/>
          <w:lang w:val="es-ES" w:eastAsia="es-ES"/>
        </w:rPr>
        <w:t xml:space="preserve"> </w:t>
      </w:r>
      <w:r w:rsidRPr="00766FE7">
        <w:rPr>
          <w:rFonts w:eastAsia="Times New Roman" w:cs="Times New Roman"/>
          <w:b/>
          <w:color w:val="2F5496" w:themeColor="accent1" w:themeShade="BF"/>
          <w:sz w:val="32"/>
          <w:szCs w:val="32"/>
          <w:lang w:val="es-ES" w:eastAsia="es-ES"/>
        </w:rPr>
        <w:t>I+D DE CARÁCTER NO ECONÓMICO. MODALIDAD 1: "PROYECTOS I+D INDEPENDIENTE"</w:t>
      </w:r>
      <w:r w:rsidR="006B200C">
        <w:rPr>
          <w:rFonts w:cs="Verdana-Bold"/>
          <w:bCs/>
          <w:i/>
          <w:noProof/>
          <w:sz w:val="24"/>
          <w:szCs w:val="24"/>
          <w:lang w:val="es-ES" w:eastAsia="es-ES"/>
        </w:rPr>
        <w:drawing>
          <wp:inline distT="0" distB="0" distL="0" distR="0" wp14:anchorId="6C0BD4CD" wp14:editId="1CEF9DA8">
            <wp:extent cx="6517005" cy="425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7005" cy="42545"/>
                    </a:xfrm>
                    <a:prstGeom prst="rect">
                      <a:avLst/>
                    </a:prstGeom>
                    <a:noFill/>
                  </pic:spPr>
                </pic:pic>
              </a:graphicData>
            </a:graphic>
          </wp:inline>
        </w:drawing>
      </w:r>
    </w:p>
    <w:p w14:paraId="2782A12A" w14:textId="5ACBA5C1" w:rsidR="00766FE7" w:rsidRPr="00992E0B" w:rsidRDefault="00766FE7" w:rsidP="008A2371">
      <w:pPr>
        <w:shd w:val="clear" w:color="auto" w:fill="FFFFFF"/>
        <w:spacing w:after="0" w:line="276" w:lineRule="auto"/>
        <w:textAlignment w:val="baseline"/>
        <w:rPr>
          <w:rFonts w:eastAsia="Times New Roman" w:cs="Arial"/>
          <w:color w:val="555555"/>
          <w:sz w:val="24"/>
          <w:szCs w:val="24"/>
          <w:lang w:val="es-ES" w:eastAsia="es-ES"/>
        </w:rPr>
      </w:pPr>
      <w:r>
        <w:rPr>
          <w:rFonts w:eastAsia="Times New Roman" w:cs="Arial"/>
          <w:color w:val="555555"/>
          <w:sz w:val="24"/>
          <w:szCs w:val="24"/>
          <w:lang w:val="es-ES" w:eastAsia="es-ES"/>
        </w:rPr>
        <w:t xml:space="preserve">El Centro Tecnológico Nacional de la Conserva y Alimentación está </w:t>
      </w:r>
      <w:r w:rsidR="004F2B1C">
        <w:rPr>
          <w:rFonts w:eastAsia="Times New Roman" w:cs="Arial"/>
          <w:color w:val="555555"/>
          <w:sz w:val="24"/>
          <w:szCs w:val="24"/>
          <w:lang w:val="es-ES" w:eastAsia="es-ES"/>
        </w:rPr>
        <w:t>el siguiente</w:t>
      </w:r>
      <w:r>
        <w:rPr>
          <w:rFonts w:eastAsia="Times New Roman" w:cs="Arial"/>
          <w:color w:val="555555"/>
          <w:sz w:val="24"/>
          <w:szCs w:val="24"/>
          <w:lang w:val="es-ES" w:eastAsia="es-ES"/>
        </w:rPr>
        <w:t xml:space="preserve"> proyecto</w:t>
      </w:r>
      <w:r w:rsidR="007C6153">
        <w:rPr>
          <w:rFonts w:eastAsia="Times New Roman" w:cs="Arial"/>
          <w:color w:val="555555"/>
          <w:sz w:val="24"/>
          <w:szCs w:val="24"/>
          <w:lang w:val="es-ES" w:eastAsia="es-ES"/>
        </w:rPr>
        <w:t xml:space="preserve"> en el marco del “</w:t>
      </w:r>
      <w:r w:rsidR="007C6153">
        <w:rPr>
          <w:rFonts w:eastAsia="Times New Roman" w:cs="Arial"/>
          <w:i/>
          <w:iCs/>
          <w:color w:val="555555"/>
          <w:sz w:val="24"/>
          <w:szCs w:val="24"/>
          <w:lang w:val="es-ES" w:eastAsia="es-ES"/>
        </w:rPr>
        <w:t>P</w:t>
      </w:r>
      <w:r w:rsidR="007C6153" w:rsidRPr="007C6153">
        <w:rPr>
          <w:rFonts w:eastAsia="Times New Roman" w:cs="Arial"/>
          <w:i/>
          <w:iCs/>
          <w:color w:val="555555"/>
          <w:sz w:val="24"/>
          <w:szCs w:val="24"/>
          <w:lang w:val="es-ES" w:eastAsia="es-ES"/>
        </w:rPr>
        <w:t xml:space="preserve">rograma de apoyo a los centros tecnológicos para la realización de actividades </w:t>
      </w:r>
      <w:r w:rsidR="008A2371" w:rsidRPr="007C6153">
        <w:rPr>
          <w:rFonts w:eastAsia="Times New Roman" w:cs="Arial"/>
          <w:i/>
          <w:iCs/>
          <w:color w:val="555555"/>
          <w:sz w:val="24"/>
          <w:szCs w:val="24"/>
          <w:lang w:val="es-ES" w:eastAsia="es-ES"/>
        </w:rPr>
        <w:t xml:space="preserve">I+D </w:t>
      </w:r>
      <w:r w:rsidR="007C6153" w:rsidRPr="007C6153">
        <w:rPr>
          <w:rFonts w:eastAsia="Times New Roman" w:cs="Arial"/>
          <w:i/>
          <w:iCs/>
          <w:color w:val="555555"/>
          <w:sz w:val="24"/>
          <w:szCs w:val="24"/>
          <w:lang w:val="es-ES" w:eastAsia="es-ES"/>
        </w:rPr>
        <w:t xml:space="preserve">de carácter no económico. modalidad 1: "proyectos </w:t>
      </w:r>
      <w:r w:rsidR="008A2371" w:rsidRPr="007C6153">
        <w:rPr>
          <w:rFonts w:eastAsia="Times New Roman" w:cs="Arial"/>
          <w:i/>
          <w:iCs/>
          <w:color w:val="555555"/>
          <w:sz w:val="24"/>
          <w:szCs w:val="24"/>
          <w:lang w:val="es-ES" w:eastAsia="es-ES"/>
        </w:rPr>
        <w:t xml:space="preserve">I+D </w:t>
      </w:r>
      <w:r w:rsidR="007C6153" w:rsidRPr="007C6153">
        <w:rPr>
          <w:rFonts w:eastAsia="Times New Roman" w:cs="Arial"/>
          <w:i/>
          <w:iCs/>
          <w:color w:val="555555"/>
          <w:sz w:val="24"/>
          <w:szCs w:val="24"/>
          <w:lang w:val="es-ES" w:eastAsia="es-ES"/>
        </w:rPr>
        <w:t>independiente"</w:t>
      </w:r>
      <w:r w:rsidR="007C6153">
        <w:rPr>
          <w:rFonts w:eastAsia="Times New Roman" w:cs="Arial"/>
          <w:i/>
          <w:iCs/>
          <w:color w:val="555555"/>
          <w:sz w:val="24"/>
          <w:szCs w:val="24"/>
          <w:lang w:val="es-ES" w:eastAsia="es-ES"/>
        </w:rPr>
        <w:t xml:space="preserve"> </w:t>
      </w:r>
      <w:r w:rsidR="007C6153">
        <w:rPr>
          <w:rFonts w:eastAsia="Times New Roman" w:cs="Arial"/>
          <w:color w:val="555555"/>
          <w:sz w:val="24"/>
          <w:szCs w:val="24"/>
          <w:lang w:val="es-ES" w:eastAsia="es-ES"/>
        </w:rPr>
        <w:t xml:space="preserve">del Instituto de la Región de Murcia </w:t>
      </w:r>
      <w:r w:rsidR="00173055">
        <w:rPr>
          <w:rFonts w:eastAsia="Times New Roman" w:cs="Arial"/>
          <w:color w:val="555555"/>
          <w:sz w:val="24"/>
          <w:szCs w:val="24"/>
          <w:lang w:val="es-ES" w:eastAsia="es-ES"/>
        </w:rPr>
        <w:t>INFO.</w:t>
      </w:r>
    </w:p>
    <w:p w14:paraId="21CE4352" w14:textId="65EFEC78" w:rsidR="00271D96" w:rsidRPr="008A2371" w:rsidRDefault="00271D96" w:rsidP="008A2371">
      <w:pPr>
        <w:spacing w:after="0" w:line="276" w:lineRule="auto"/>
        <w:rPr>
          <w:rFonts w:eastAsia="Times New Roman" w:cstheme="minorHAnsi"/>
          <w:b/>
          <w:color w:val="000000" w:themeColor="text1"/>
          <w:sz w:val="24"/>
          <w:szCs w:val="24"/>
          <w:lang w:val="es-ES"/>
        </w:rPr>
      </w:pPr>
      <w:r w:rsidRPr="008A2371">
        <w:rPr>
          <w:rFonts w:eastAsia="Times New Roman" w:cstheme="minorHAnsi"/>
          <w:b/>
          <w:color w:val="000000" w:themeColor="text1"/>
          <w:sz w:val="24"/>
          <w:szCs w:val="24"/>
          <w:lang w:val="es-ES"/>
        </w:rPr>
        <w:t xml:space="preserve">TITULO: </w:t>
      </w:r>
      <w:r w:rsidR="00D87576" w:rsidRPr="00D87576">
        <w:rPr>
          <w:rFonts w:eastAsia="Times New Roman" w:cstheme="minorHAnsi"/>
          <w:b/>
          <w:color w:val="000000" w:themeColor="text1"/>
          <w:sz w:val="24"/>
          <w:szCs w:val="24"/>
          <w:lang w:val="es-ES"/>
        </w:rPr>
        <w:t>COMPARACIÓN DE TECNOLOGÍAS CONVENCIONALES Y EMERGENTES PARA LA EXTRACCIÓN DE COMPUESTOS DE INTERÉS A PARTIR DE RESIDUOS AGROALIMENTARIOS (ET2NOVELTECH).</w:t>
      </w:r>
    </w:p>
    <w:p w14:paraId="144FA805" w14:textId="085F8C17" w:rsidR="00115DE3" w:rsidRPr="008A2371" w:rsidRDefault="00115DE3" w:rsidP="008A2371">
      <w:pPr>
        <w:spacing w:after="0" w:line="276" w:lineRule="auto"/>
        <w:rPr>
          <w:rFonts w:eastAsia="Times New Roman" w:cstheme="minorHAnsi"/>
          <w:bCs/>
          <w:color w:val="000000" w:themeColor="text1"/>
          <w:sz w:val="24"/>
          <w:szCs w:val="24"/>
          <w:lang w:val="es-ES"/>
        </w:rPr>
      </w:pPr>
      <w:r w:rsidRPr="008A2371">
        <w:rPr>
          <w:rFonts w:cs="Times New Roman"/>
          <w:bCs/>
          <w:color w:val="000000" w:themeColor="text1"/>
          <w:sz w:val="24"/>
          <w:szCs w:val="24"/>
          <w:lang w:val="es-ES"/>
        </w:rPr>
        <w:t xml:space="preserve">Num. Expediente: </w:t>
      </w:r>
      <w:r w:rsidR="000417DB" w:rsidRPr="008A2371">
        <w:rPr>
          <w:rFonts w:cs="Times New Roman"/>
          <w:bCs/>
          <w:color w:val="000000" w:themeColor="text1"/>
          <w:sz w:val="24"/>
          <w:szCs w:val="24"/>
          <w:lang w:val="es-ES"/>
        </w:rPr>
        <w:t>202</w:t>
      </w:r>
      <w:r w:rsidR="00375FE7">
        <w:rPr>
          <w:rFonts w:cs="Times New Roman"/>
          <w:bCs/>
          <w:color w:val="000000" w:themeColor="text1"/>
          <w:sz w:val="24"/>
          <w:szCs w:val="24"/>
          <w:lang w:val="es-ES"/>
        </w:rPr>
        <w:t>2</w:t>
      </w:r>
      <w:r w:rsidR="000417DB" w:rsidRPr="008A2371">
        <w:rPr>
          <w:rFonts w:cs="Times New Roman"/>
          <w:bCs/>
          <w:color w:val="000000" w:themeColor="text1"/>
          <w:sz w:val="24"/>
          <w:szCs w:val="24"/>
          <w:lang w:val="es-ES"/>
        </w:rPr>
        <w:t>.08.CT01.0</w:t>
      </w:r>
      <w:r w:rsidR="00286956">
        <w:rPr>
          <w:rFonts w:cs="Times New Roman"/>
          <w:bCs/>
          <w:color w:val="000000" w:themeColor="text1"/>
          <w:sz w:val="24"/>
          <w:szCs w:val="24"/>
          <w:lang w:val="es-ES"/>
        </w:rPr>
        <w:t>0</w:t>
      </w:r>
      <w:r w:rsidR="000417DB" w:rsidRPr="008A2371">
        <w:rPr>
          <w:rFonts w:cs="Times New Roman"/>
          <w:bCs/>
          <w:color w:val="000000" w:themeColor="text1"/>
          <w:sz w:val="24"/>
          <w:szCs w:val="24"/>
          <w:lang w:val="es-ES"/>
        </w:rPr>
        <w:t>0</w:t>
      </w:r>
      <w:r w:rsidR="00D56E9E">
        <w:rPr>
          <w:rFonts w:cs="Times New Roman"/>
          <w:bCs/>
          <w:color w:val="000000" w:themeColor="text1"/>
          <w:sz w:val="24"/>
          <w:szCs w:val="24"/>
          <w:lang w:val="es-ES"/>
        </w:rPr>
        <w:t>3</w:t>
      </w:r>
    </w:p>
    <w:p w14:paraId="79D6A532" w14:textId="558221AD" w:rsidR="00D26015" w:rsidRDefault="00271D96" w:rsidP="00914BCA">
      <w:pPr>
        <w:spacing w:after="0" w:line="276" w:lineRule="auto"/>
        <w:rPr>
          <w:rFonts w:eastAsia="Times New Roman" w:cstheme="minorHAnsi"/>
          <w:bCs/>
          <w:color w:val="000000" w:themeColor="text1"/>
          <w:sz w:val="24"/>
          <w:szCs w:val="24"/>
          <w:lang w:val="es-ES"/>
        </w:rPr>
      </w:pPr>
      <w:r w:rsidRPr="008A2371">
        <w:rPr>
          <w:rFonts w:eastAsia="Times New Roman" w:cstheme="minorHAnsi"/>
          <w:bCs/>
          <w:color w:val="000000" w:themeColor="text1"/>
          <w:sz w:val="24"/>
          <w:szCs w:val="24"/>
          <w:lang w:val="es-ES"/>
        </w:rPr>
        <w:t xml:space="preserve">FECHA INICIO: </w:t>
      </w:r>
      <w:r w:rsidRPr="008A2371">
        <w:rPr>
          <w:rFonts w:cs="Times New Roman"/>
          <w:bCs/>
          <w:color w:val="000000" w:themeColor="text1"/>
          <w:sz w:val="24"/>
          <w:szCs w:val="24"/>
          <w:lang w:val="es-ES"/>
        </w:rPr>
        <w:t>enero20</w:t>
      </w:r>
      <w:r w:rsidR="00766FE7" w:rsidRPr="008A2371">
        <w:rPr>
          <w:rFonts w:cs="Times New Roman"/>
          <w:bCs/>
          <w:color w:val="000000" w:themeColor="text1"/>
          <w:sz w:val="24"/>
          <w:szCs w:val="24"/>
          <w:lang w:val="es-ES"/>
        </w:rPr>
        <w:t>2</w:t>
      </w:r>
      <w:r w:rsidR="00375FE7">
        <w:rPr>
          <w:rFonts w:cs="Times New Roman"/>
          <w:bCs/>
          <w:color w:val="000000" w:themeColor="text1"/>
          <w:sz w:val="24"/>
          <w:szCs w:val="24"/>
          <w:lang w:val="es-ES"/>
        </w:rPr>
        <w:t>2</w:t>
      </w:r>
      <w:r w:rsidRPr="008A2371">
        <w:rPr>
          <w:rFonts w:eastAsia="Times New Roman" w:cstheme="minorHAnsi"/>
          <w:bCs/>
          <w:color w:val="000000" w:themeColor="text1"/>
          <w:sz w:val="24"/>
          <w:szCs w:val="24"/>
          <w:lang w:val="es-ES"/>
        </w:rPr>
        <w:t xml:space="preserve">   / FECHA FIN: </w:t>
      </w:r>
      <w:r w:rsidRPr="008A2371">
        <w:rPr>
          <w:rFonts w:cs="Times New Roman"/>
          <w:bCs/>
          <w:color w:val="000000" w:themeColor="text1"/>
          <w:sz w:val="24"/>
          <w:szCs w:val="24"/>
          <w:lang w:val="es-ES"/>
        </w:rPr>
        <w:t>diciembre20</w:t>
      </w:r>
      <w:r w:rsidR="00766FE7" w:rsidRPr="008A2371">
        <w:rPr>
          <w:rFonts w:cs="Times New Roman"/>
          <w:bCs/>
          <w:color w:val="000000" w:themeColor="text1"/>
          <w:sz w:val="24"/>
          <w:szCs w:val="24"/>
          <w:lang w:val="es-ES"/>
        </w:rPr>
        <w:t>2</w:t>
      </w:r>
      <w:r w:rsidR="00375FE7">
        <w:rPr>
          <w:rFonts w:cs="Times New Roman"/>
          <w:bCs/>
          <w:color w:val="000000" w:themeColor="text1"/>
          <w:sz w:val="24"/>
          <w:szCs w:val="24"/>
          <w:lang w:val="es-ES"/>
        </w:rPr>
        <w:t>2</w:t>
      </w:r>
    </w:p>
    <w:p w14:paraId="0A516492" w14:textId="6618F97A" w:rsidR="00D87576" w:rsidRDefault="008A2371" w:rsidP="00D87576">
      <w:pPr>
        <w:spacing w:line="276" w:lineRule="auto"/>
        <w:jc w:val="both"/>
        <w:rPr>
          <w:rFonts w:eastAsia="Times New Roman" w:cstheme="minorHAnsi"/>
          <w:bCs/>
          <w:color w:val="000000" w:themeColor="text1"/>
          <w:sz w:val="24"/>
          <w:szCs w:val="24"/>
          <w:lang w:val="es-ES"/>
        </w:rPr>
      </w:pPr>
      <w:r w:rsidRPr="00375FE7">
        <w:rPr>
          <w:rFonts w:eastAsia="Times New Roman" w:cstheme="minorHAnsi"/>
          <w:b/>
          <w:color w:val="000000" w:themeColor="text1"/>
          <w:sz w:val="24"/>
          <w:szCs w:val="24"/>
          <w:lang w:val="es-ES"/>
        </w:rPr>
        <w:t>ANTE</w:t>
      </w:r>
      <w:r w:rsidR="00891A42" w:rsidRPr="00375FE7">
        <w:rPr>
          <w:rFonts w:eastAsia="Times New Roman" w:cstheme="minorHAnsi"/>
          <w:b/>
          <w:color w:val="000000" w:themeColor="text1"/>
          <w:sz w:val="24"/>
          <w:szCs w:val="24"/>
          <w:lang w:val="es-ES"/>
        </w:rPr>
        <w:t>CENTES:</w:t>
      </w:r>
      <w:r w:rsidR="008A351C" w:rsidRPr="008A351C">
        <w:rPr>
          <w:lang w:val="es-ES"/>
        </w:rPr>
        <w:t xml:space="preserve"> </w:t>
      </w:r>
      <w:r w:rsidR="00D87576" w:rsidRPr="00D87576">
        <w:rPr>
          <w:rFonts w:eastAsia="Times New Roman" w:cstheme="minorHAnsi"/>
          <w:bCs/>
          <w:color w:val="000000" w:themeColor="text1"/>
          <w:sz w:val="24"/>
          <w:szCs w:val="24"/>
          <w:lang w:val="es-ES"/>
        </w:rPr>
        <w:t>Los subproductos y residuos alimentarios constituyen fuentes potenciales de compuestos bioactivos, entre ellos, los compuestos fenólicos, de gran interés para las industrias alimentaria, cosmética y farmacéutica. Es cada vez mayor el interés en el desarrollo de iniciativas para el tratamiento de subproductos alimentarios y lograr la recuperación de compuestos de interés de estos, debido a la doble ventaja que presentan, ya que aparte de reducir el volumen de desecho y minimizar los gastos que supone la gestión de los residuos</w:t>
      </w:r>
      <w:r w:rsidR="00D87576">
        <w:rPr>
          <w:rFonts w:eastAsia="Times New Roman" w:cstheme="minorHAnsi"/>
          <w:bCs/>
          <w:color w:val="000000" w:themeColor="text1"/>
          <w:sz w:val="24"/>
          <w:szCs w:val="24"/>
          <w:lang w:val="es-ES"/>
        </w:rPr>
        <w:t>.</w:t>
      </w:r>
      <w:r w:rsidR="00D87576" w:rsidRPr="00D87576">
        <w:rPr>
          <w:rFonts w:eastAsia="Times New Roman" w:cstheme="minorHAnsi"/>
          <w:bCs/>
          <w:color w:val="000000" w:themeColor="text1"/>
          <w:sz w:val="24"/>
          <w:szCs w:val="24"/>
          <w:lang w:val="es-ES"/>
        </w:rPr>
        <w:t xml:space="preserve"> </w:t>
      </w:r>
    </w:p>
    <w:p w14:paraId="02B3CB27" w14:textId="103F5CB1" w:rsidR="00375FE7" w:rsidRDefault="00375FE7" w:rsidP="00D87576">
      <w:pPr>
        <w:spacing w:line="276" w:lineRule="auto"/>
        <w:jc w:val="both"/>
        <w:rPr>
          <w:rFonts w:eastAsia="Times New Roman" w:cstheme="minorHAnsi"/>
          <w:bCs/>
          <w:color w:val="000000" w:themeColor="text1"/>
          <w:sz w:val="24"/>
          <w:szCs w:val="24"/>
          <w:lang w:val="es-ES"/>
        </w:rPr>
      </w:pPr>
      <w:r>
        <w:rPr>
          <w:rFonts w:eastAsia="Times New Roman" w:cstheme="minorHAnsi"/>
          <w:b/>
          <w:color w:val="000000" w:themeColor="text1"/>
          <w:sz w:val="24"/>
          <w:szCs w:val="24"/>
          <w:lang w:val="es-ES"/>
        </w:rPr>
        <w:t xml:space="preserve">OBJETIVO: </w:t>
      </w:r>
      <w:r w:rsidR="00D87576" w:rsidRPr="00D87576">
        <w:rPr>
          <w:rFonts w:eastAsia="Times New Roman" w:cstheme="minorHAnsi"/>
          <w:bCs/>
          <w:color w:val="000000" w:themeColor="text1"/>
          <w:sz w:val="24"/>
          <w:szCs w:val="24"/>
          <w:lang w:val="es-ES"/>
        </w:rPr>
        <w:t>E</w:t>
      </w:r>
      <w:r w:rsidR="00D87576">
        <w:rPr>
          <w:rFonts w:eastAsia="Times New Roman" w:cstheme="minorHAnsi"/>
          <w:bCs/>
          <w:color w:val="000000" w:themeColor="text1"/>
          <w:sz w:val="24"/>
          <w:szCs w:val="24"/>
          <w:lang w:val="es-ES"/>
        </w:rPr>
        <w:t>l objetivo es el desarrollo de</w:t>
      </w:r>
      <w:r w:rsidR="00D87576" w:rsidRPr="00D87576">
        <w:rPr>
          <w:rFonts w:eastAsia="Times New Roman" w:cstheme="minorHAnsi"/>
          <w:bCs/>
          <w:color w:val="000000" w:themeColor="text1"/>
          <w:sz w:val="24"/>
          <w:szCs w:val="24"/>
          <w:lang w:val="es-ES"/>
        </w:rPr>
        <w:t xml:space="preserve"> diferentes métodos de extracción y purificación de bajo coste, alternativos a los tradicionales, para la obtención de compuestos fenólicos de interés en residuos de la industria alimentaria mediante la utilización de tecnologías verdes, los cuales presentan altos rendimientos y proporcionan una economía viable.</w:t>
      </w:r>
    </w:p>
    <w:p w14:paraId="7B5C4BF9" w14:textId="0BB16F14" w:rsidR="004B111B" w:rsidRDefault="00891A42" w:rsidP="00375FE7">
      <w:pPr>
        <w:spacing w:line="276" w:lineRule="auto"/>
        <w:jc w:val="both"/>
        <w:rPr>
          <w:lang w:val="es-ES"/>
        </w:rPr>
      </w:pPr>
      <w:r w:rsidRPr="00873080">
        <w:rPr>
          <w:rFonts w:cs="Times New Roman"/>
          <w:b/>
          <w:color w:val="000000" w:themeColor="text1"/>
          <w:sz w:val="24"/>
          <w:szCs w:val="24"/>
          <w:lang w:val="es-ES"/>
        </w:rPr>
        <w:t>METODOLOGÍA</w:t>
      </w:r>
      <w:r>
        <w:rPr>
          <w:rFonts w:cs="Times New Roman"/>
          <w:bCs/>
          <w:color w:val="000000" w:themeColor="text1"/>
          <w:sz w:val="24"/>
          <w:szCs w:val="24"/>
          <w:lang w:val="es-ES"/>
        </w:rPr>
        <w:t>:</w:t>
      </w:r>
      <w:r w:rsidR="00D26015" w:rsidRPr="00D26015">
        <w:rPr>
          <w:lang w:val="es-ES"/>
        </w:rPr>
        <w:t xml:space="preserve"> </w:t>
      </w:r>
      <w:r w:rsidR="00302429" w:rsidRPr="00D87576">
        <w:rPr>
          <w:sz w:val="24"/>
          <w:szCs w:val="24"/>
          <w:lang w:val="es-ES"/>
        </w:rPr>
        <w:t>La metodología y plan de trabajo propuesto para el presente proyecto</w:t>
      </w:r>
      <w:r w:rsidR="004B111B" w:rsidRPr="00D87576">
        <w:rPr>
          <w:sz w:val="24"/>
          <w:szCs w:val="24"/>
          <w:lang w:val="es-ES"/>
        </w:rPr>
        <w:t xml:space="preserve"> </w:t>
      </w:r>
      <w:r w:rsidR="00302429" w:rsidRPr="00D87576">
        <w:rPr>
          <w:sz w:val="24"/>
          <w:szCs w:val="24"/>
          <w:lang w:val="es-ES"/>
        </w:rPr>
        <w:t>están enfocados en el desarrollo de</w:t>
      </w:r>
      <w:r w:rsidR="004B111B" w:rsidRPr="00D87576">
        <w:rPr>
          <w:sz w:val="24"/>
          <w:szCs w:val="24"/>
          <w:lang w:val="es-ES"/>
        </w:rPr>
        <w:t xml:space="preserve"> las siguientes </w:t>
      </w:r>
      <w:r w:rsidR="00D87576">
        <w:rPr>
          <w:sz w:val="24"/>
          <w:szCs w:val="24"/>
          <w:lang w:val="es-ES"/>
        </w:rPr>
        <w:t>fases</w:t>
      </w:r>
      <w:r w:rsidR="004B111B" w:rsidRPr="00D87576">
        <w:rPr>
          <w:sz w:val="24"/>
          <w:szCs w:val="24"/>
          <w:lang w:val="es-ES"/>
        </w:rPr>
        <w:t>:</w:t>
      </w:r>
    </w:p>
    <w:p w14:paraId="4B3B1158" w14:textId="77777777" w:rsidR="00D87576" w:rsidRPr="00D87576" w:rsidRDefault="00D87576" w:rsidP="00D87576">
      <w:pPr>
        <w:spacing w:after="0" w:line="276" w:lineRule="auto"/>
        <w:jc w:val="both"/>
        <w:rPr>
          <w:rFonts w:cs="Times New Roman"/>
          <w:bCs/>
          <w:color w:val="000000" w:themeColor="text1"/>
          <w:sz w:val="24"/>
          <w:szCs w:val="24"/>
          <w:lang w:val="es-ES"/>
        </w:rPr>
      </w:pPr>
      <w:r w:rsidRPr="00D87576">
        <w:rPr>
          <w:rFonts w:cs="Times New Roman"/>
          <w:bCs/>
          <w:color w:val="000000" w:themeColor="text1"/>
          <w:sz w:val="24"/>
          <w:szCs w:val="24"/>
          <w:lang w:val="es-ES"/>
        </w:rPr>
        <w:t>FASE 1. ESTUDIO DEL ACONDICIONAMIENTO Y CONSERVACIÓN DE LOS SUBPRODUCTOS INDUSTRIALES. Con el fin de evitar el deterioro durante el almacenamiento hasta su uso.</w:t>
      </w:r>
    </w:p>
    <w:p w14:paraId="34154100" w14:textId="77777777" w:rsidR="00D87576" w:rsidRPr="00D87576" w:rsidRDefault="00D87576" w:rsidP="00D87576">
      <w:pPr>
        <w:spacing w:after="0" w:line="276" w:lineRule="auto"/>
        <w:jc w:val="both"/>
        <w:rPr>
          <w:rFonts w:cs="Times New Roman"/>
          <w:bCs/>
          <w:color w:val="000000" w:themeColor="text1"/>
          <w:sz w:val="24"/>
          <w:szCs w:val="24"/>
          <w:lang w:val="es-ES"/>
        </w:rPr>
      </w:pPr>
      <w:r w:rsidRPr="00D87576">
        <w:rPr>
          <w:rFonts w:cs="Times New Roman"/>
          <w:bCs/>
          <w:color w:val="000000" w:themeColor="text1"/>
          <w:sz w:val="24"/>
          <w:szCs w:val="24"/>
          <w:lang w:val="es-ES"/>
        </w:rPr>
        <w:t>FASE 2. PROCESOS DE EXTRACCIÓN CON MÉTODOS TRADICIONALES A ESCALA LABORATORIO. Para  compararlas posteriormente con las técnicas novedosas</w:t>
      </w:r>
    </w:p>
    <w:p w14:paraId="2E6B6349" w14:textId="77777777" w:rsidR="00D87576" w:rsidRPr="00D87576" w:rsidRDefault="00D87576" w:rsidP="00D87576">
      <w:pPr>
        <w:spacing w:after="0" w:line="276" w:lineRule="auto"/>
        <w:jc w:val="both"/>
        <w:rPr>
          <w:rFonts w:cs="Times New Roman"/>
          <w:bCs/>
          <w:color w:val="000000" w:themeColor="text1"/>
          <w:sz w:val="24"/>
          <w:szCs w:val="24"/>
          <w:lang w:val="es-ES"/>
        </w:rPr>
      </w:pPr>
      <w:r w:rsidRPr="00D87576">
        <w:rPr>
          <w:rFonts w:cs="Times New Roman"/>
          <w:bCs/>
          <w:color w:val="000000" w:themeColor="text1"/>
          <w:sz w:val="24"/>
          <w:szCs w:val="24"/>
          <w:lang w:val="es-ES"/>
        </w:rPr>
        <w:t xml:space="preserve">FASE 3.- ANÁLISIS Y OPTIMIZACIÓN DE PROCESOS DE EXTRACCIÓN CON DIFERENTES TÉCNICAS NOVEDOSAS A ESCALA LABORATORIO. Extracción y optimización de compuestos de interés con diferentes técnicas novedosas de extracción. </w:t>
      </w:r>
    </w:p>
    <w:p w14:paraId="43F36B88" w14:textId="77777777" w:rsidR="00D87576" w:rsidRDefault="00D87576" w:rsidP="00D87576">
      <w:pPr>
        <w:spacing w:after="0" w:line="276" w:lineRule="auto"/>
        <w:jc w:val="both"/>
        <w:rPr>
          <w:rFonts w:cs="Times New Roman"/>
          <w:bCs/>
          <w:color w:val="000000" w:themeColor="text1"/>
          <w:sz w:val="24"/>
          <w:szCs w:val="24"/>
          <w:lang w:val="es-ES"/>
        </w:rPr>
      </w:pPr>
      <w:r w:rsidRPr="00D87576">
        <w:rPr>
          <w:rFonts w:cs="Times New Roman"/>
          <w:bCs/>
          <w:color w:val="000000" w:themeColor="text1"/>
          <w:sz w:val="24"/>
          <w:szCs w:val="24"/>
          <w:lang w:val="es-ES"/>
        </w:rPr>
        <w:t>FASE 4.- ESTUDIO Y COMPARATIVA DE LOS MÉTODOS DE EXTRACCIÓN TRADICIONALES E INNOVADORES. Estudio de la posibilidad de combinar diferentes técnicas de extracción para aumentar el rendimiento de recuperación de compuestos de interés.</w:t>
      </w:r>
    </w:p>
    <w:p w14:paraId="0B200932" w14:textId="30FF0F1C" w:rsidR="00E509EA" w:rsidRPr="008B120D" w:rsidRDefault="00271D96" w:rsidP="00320E45">
      <w:pPr>
        <w:spacing w:after="0" w:line="276" w:lineRule="auto"/>
        <w:jc w:val="center"/>
        <w:rPr>
          <w:rFonts w:ascii="Calibri" w:hAnsi="Calibri" w:cs="Calibri"/>
          <w:i/>
          <w:iCs/>
          <w:sz w:val="20"/>
          <w:szCs w:val="20"/>
          <w:lang w:val="es-ES"/>
        </w:rPr>
      </w:pPr>
      <w:r w:rsidRPr="00315E8C">
        <w:rPr>
          <w:rFonts w:eastAsia="Times New Roman" w:cstheme="minorHAnsi"/>
          <w:i/>
          <w:sz w:val="20"/>
          <w:szCs w:val="20"/>
          <w:lang w:val="es-ES"/>
        </w:rPr>
        <w:lastRenderedPageBreak/>
        <w:t>Proyecto subvencionado por una cantidad global de</w:t>
      </w:r>
      <w:r w:rsidR="00914BCA" w:rsidRPr="00315E8C">
        <w:rPr>
          <w:rFonts w:eastAsia="Times New Roman" w:cstheme="minorHAnsi"/>
          <w:i/>
          <w:sz w:val="20"/>
          <w:szCs w:val="20"/>
          <w:lang w:val="es-ES"/>
        </w:rPr>
        <w:t xml:space="preserve"> </w:t>
      </w:r>
      <w:r w:rsidR="00D56E9E" w:rsidRPr="00315E8C">
        <w:rPr>
          <w:rFonts w:eastAsia="Times New Roman" w:cstheme="minorHAnsi"/>
          <w:i/>
          <w:sz w:val="20"/>
          <w:szCs w:val="20"/>
          <w:lang w:val="es-ES"/>
        </w:rPr>
        <w:t>122.685,53</w:t>
      </w:r>
      <w:r w:rsidR="008A2371" w:rsidRPr="00315E8C">
        <w:rPr>
          <w:rFonts w:eastAsia="Times New Roman" w:cstheme="minorHAnsi"/>
          <w:i/>
          <w:sz w:val="20"/>
          <w:szCs w:val="20"/>
          <w:lang w:val="es-ES"/>
        </w:rPr>
        <w:t xml:space="preserve"> € </w:t>
      </w:r>
      <w:r w:rsidRPr="00315E8C">
        <w:rPr>
          <w:rFonts w:eastAsia="Times New Roman" w:cstheme="minorHAnsi"/>
          <w:i/>
          <w:sz w:val="20"/>
          <w:szCs w:val="20"/>
          <w:lang w:val="es-ES"/>
        </w:rPr>
        <w:t xml:space="preserve">por el Instituto de Fomento de la Región de Murcia (INFO) y cofinanciado en un 80%, es decir, hasta </w:t>
      </w:r>
      <w:r w:rsidR="00D56E9E" w:rsidRPr="00315E8C">
        <w:rPr>
          <w:rFonts w:eastAsia="Times New Roman" w:cstheme="minorHAnsi"/>
          <w:i/>
          <w:sz w:val="20"/>
          <w:szCs w:val="20"/>
          <w:lang w:val="es-ES"/>
        </w:rPr>
        <w:t>98.591,78</w:t>
      </w:r>
      <w:r w:rsidR="008A2371" w:rsidRPr="00315E8C">
        <w:rPr>
          <w:rFonts w:eastAsia="Times New Roman" w:cstheme="minorHAnsi"/>
          <w:i/>
          <w:sz w:val="20"/>
          <w:szCs w:val="20"/>
          <w:lang w:val="es-ES"/>
        </w:rPr>
        <w:t xml:space="preserve"> € </w:t>
      </w:r>
      <w:r w:rsidRPr="00315E8C">
        <w:rPr>
          <w:rFonts w:eastAsia="Times New Roman" w:cstheme="minorHAnsi"/>
          <w:i/>
          <w:sz w:val="20"/>
          <w:szCs w:val="20"/>
          <w:lang w:val="es-ES"/>
        </w:rPr>
        <w:t>con recursos del Fondo Europeo de Desarrollo Regional (FEDER)</w:t>
      </w:r>
      <w:r w:rsidR="008A2371" w:rsidRPr="00315E8C">
        <w:rPr>
          <w:rFonts w:eastAsia="Times New Roman" w:cstheme="minorHAnsi"/>
          <w:i/>
          <w:sz w:val="20"/>
          <w:szCs w:val="20"/>
          <w:lang w:val="es-ES"/>
        </w:rPr>
        <w:t xml:space="preserve">, </w:t>
      </w:r>
      <w:r w:rsidR="00E509EA" w:rsidRPr="00315E8C">
        <w:rPr>
          <w:rFonts w:ascii="Calibri" w:hAnsi="Calibri" w:cs="Calibri"/>
          <w:i/>
          <w:iCs/>
          <w:sz w:val="20"/>
          <w:szCs w:val="20"/>
          <w:lang w:val="es-ES"/>
        </w:rPr>
        <w:t>asignados al Instituto de Fomento de la Región de Murcia con arreglo a la Subvención Global mediante la Decisión C(2015)3408, de la Comisión, por la que se aprueba el Programa Operativo de intervención comunitaria FEDER 2014‐2020 en el marco del objetivo de inversión en crecimiento y empleo, en la Comunidad Autónoma de Murcia, como Región calificada en transición.</w:t>
      </w:r>
    </w:p>
    <w:p w14:paraId="670D84E0" w14:textId="77777777" w:rsidR="00E509EA" w:rsidRPr="008B120D" w:rsidRDefault="00E509EA" w:rsidP="00E509EA">
      <w:pPr>
        <w:autoSpaceDE w:val="0"/>
        <w:autoSpaceDN w:val="0"/>
        <w:adjustRightInd w:val="0"/>
        <w:spacing w:after="0" w:line="276" w:lineRule="auto"/>
        <w:jc w:val="both"/>
        <w:rPr>
          <w:rFonts w:ascii="Calibri" w:hAnsi="Calibri" w:cs="Calibri"/>
          <w:i/>
          <w:iCs/>
          <w:sz w:val="20"/>
          <w:szCs w:val="20"/>
          <w:lang w:val="es-ES"/>
        </w:rPr>
      </w:pPr>
    </w:p>
    <w:p w14:paraId="0CAF6AAE" w14:textId="77777777" w:rsidR="00E509EA" w:rsidRPr="00602471" w:rsidRDefault="00E509EA" w:rsidP="00E509EA">
      <w:pPr>
        <w:autoSpaceDE w:val="0"/>
        <w:autoSpaceDN w:val="0"/>
        <w:adjustRightInd w:val="0"/>
        <w:spacing w:after="0" w:line="276" w:lineRule="auto"/>
        <w:rPr>
          <w:rFonts w:ascii="Calibri" w:hAnsi="Calibri" w:cs="Calibri"/>
          <w:sz w:val="20"/>
          <w:szCs w:val="20"/>
          <w:lang w:val="es-ES"/>
        </w:rPr>
      </w:pPr>
      <w:bookmarkStart w:id="0" w:name="_GoBack"/>
      <w:r w:rsidRPr="00602471">
        <w:rPr>
          <w:rFonts w:ascii="Calibri" w:hAnsi="Calibri" w:cs="Calibri"/>
          <w:sz w:val="20"/>
          <w:szCs w:val="20"/>
          <w:lang w:val="es-ES"/>
        </w:rPr>
        <w:t>Para cualquier información adicional relativa a este Proyecto puede dirigirse a:</w:t>
      </w:r>
    </w:p>
    <w:p w14:paraId="409C5EDE" w14:textId="77777777" w:rsidR="00E509EA" w:rsidRPr="00602471" w:rsidRDefault="00E509EA" w:rsidP="00E509EA">
      <w:pPr>
        <w:autoSpaceDE w:val="0"/>
        <w:autoSpaceDN w:val="0"/>
        <w:adjustRightInd w:val="0"/>
        <w:spacing w:after="0" w:line="276" w:lineRule="auto"/>
        <w:jc w:val="center"/>
        <w:rPr>
          <w:rFonts w:ascii="Calibri" w:hAnsi="Calibri" w:cs="Calibri"/>
          <w:sz w:val="20"/>
          <w:szCs w:val="20"/>
          <w:lang w:val="es-ES"/>
        </w:rPr>
      </w:pPr>
      <w:r w:rsidRPr="00602471">
        <w:rPr>
          <w:rFonts w:ascii="Calibri" w:hAnsi="Calibri" w:cs="Calibri"/>
          <w:sz w:val="20"/>
          <w:szCs w:val="20"/>
          <w:lang w:val="es-ES"/>
        </w:rPr>
        <w:t>Asociación Empresarial de Investigación Centro Tecnológico Nacional de la Conserva</w:t>
      </w:r>
    </w:p>
    <w:p w14:paraId="49F03354" w14:textId="77777777" w:rsidR="00E509EA" w:rsidRPr="00602471" w:rsidRDefault="00E509EA" w:rsidP="00E509EA">
      <w:pPr>
        <w:autoSpaceDE w:val="0"/>
        <w:autoSpaceDN w:val="0"/>
        <w:adjustRightInd w:val="0"/>
        <w:spacing w:after="0" w:line="276" w:lineRule="auto"/>
        <w:jc w:val="center"/>
        <w:rPr>
          <w:rFonts w:ascii="Calibri" w:hAnsi="Calibri" w:cs="Calibri"/>
          <w:sz w:val="20"/>
          <w:szCs w:val="20"/>
          <w:lang w:val="es-ES"/>
        </w:rPr>
      </w:pPr>
      <w:r w:rsidRPr="00602471">
        <w:rPr>
          <w:rFonts w:ascii="Calibri" w:hAnsi="Calibri" w:cs="Calibri"/>
          <w:sz w:val="20"/>
          <w:szCs w:val="20"/>
          <w:lang w:val="es-ES"/>
        </w:rPr>
        <w:t>Calle Concordia s/n</w:t>
      </w:r>
    </w:p>
    <w:p w14:paraId="1EEDFEB3" w14:textId="77777777" w:rsidR="00E509EA" w:rsidRPr="00602471" w:rsidRDefault="00E509EA" w:rsidP="00E509EA">
      <w:pPr>
        <w:autoSpaceDE w:val="0"/>
        <w:autoSpaceDN w:val="0"/>
        <w:adjustRightInd w:val="0"/>
        <w:spacing w:after="0" w:line="276" w:lineRule="auto"/>
        <w:jc w:val="center"/>
        <w:rPr>
          <w:rFonts w:ascii="Calibri" w:hAnsi="Calibri" w:cs="Calibri"/>
          <w:sz w:val="20"/>
          <w:szCs w:val="20"/>
          <w:lang w:val="es-ES"/>
        </w:rPr>
      </w:pPr>
      <w:r w:rsidRPr="00602471">
        <w:rPr>
          <w:rFonts w:ascii="Calibri" w:hAnsi="Calibri" w:cs="Calibri"/>
          <w:sz w:val="20"/>
          <w:szCs w:val="20"/>
          <w:lang w:val="es-ES"/>
        </w:rPr>
        <w:t>30500 Molina de Segura (Murcia)</w:t>
      </w:r>
    </w:p>
    <w:p w14:paraId="2B50E30F" w14:textId="77777777" w:rsidR="00E509EA" w:rsidRPr="008B120D" w:rsidRDefault="00E509EA" w:rsidP="00E509EA">
      <w:pPr>
        <w:autoSpaceDE w:val="0"/>
        <w:autoSpaceDN w:val="0"/>
        <w:adjustRightInd w:val="0"/>
        <w:spacing w:after="0" w:line="276" w:lineRule="auto"/>
        <w:jc w:val="center"/>
        <w:rPr>
          <w:rFonts w:ascii="Calibri" w:hAnsi="Calibri" w:cs="Calibri"/>
          <w:sz w:val="20"/>
          <w:szCs w:val="20"/>
          <w:lang w:val="es-ES"/>
        </w:rPr>
      </w:pPr>
      <w:r w:rsidRPr="008B120D">
        <w:rPr>
          <w:rFonts w:ascii="Calibri" w:hAnsi="Calibri" w:cs="Calibri"/>
          <w:sz w:val="20"/>
          <w:szCs w:val="20"/>
          <w:lang w:val="es-ES"/>
        </w:rPr>
        <w:t>Tel: 968389011</w:t>
      </w:r>
    </w:p>
    <w:p w14:paraId="59237B9B" w14:textId="77777777" w:rsidR="00E509EA" w:rsidRPr="008B120D" w:rsidRDefault="00E509EA" w:rsidP="00E509EA">
      <w:pPr>
        <w:spacing w:line="276" w:lineRule="auto"/>
        <w:jc w:val="center"/>
        <w:rPr>
          <w:rFonts w:ascii="Calibri" w:hAnsi="Calibri" w:cs="Calibri"/>
          <w:sz w:val="20"/>
          <w:szCs w:val="20"/>
          <w:lang w:val="es-ES"/>
        </w:rPr>
      </w:pPr>
      <w:r w:rsidRPr="008B120D">
        <w:rPr>
          <w:lang w:val="es-ES"/>
        </w:rPr>
        <w:t xml:space="preserve">Presentación García Gómez </w:t>
      </w:r>
      <w:hyperlink r:id="rId8" w:history="1">
        <w:r w:rsidRPr="009A7852">
          <w:rPr>
            <w:rStyle w:val="Hipervnculo"/>
            <w:rFonts w:ascii="Calibri" w:hAnsi="Calibri" w:cs="Calibri"/>
            <w:sz w:val="20"/>
            <w:szCs w:val="20"/>
            <w:lang w:val="es-ES"/>
          </w:rPr>
          <w:t>sese@ctnc.es</w:t>
        </w:r>
      </w:hyperlink>
      <w:bookmarkEnd w:id="0"/>
    </w:p>
    <w:sectPr w:rsidR="00E509EA" w:rsidRPr="008B120D" w:rsidSect="005627AA">
      <w:headerReference w:type="default" r:id="rId9"/>
      <w:footerReference w:type="default" r:id="rId10"/>
      <w:pgSz w:w="12240" w:h="15840"/>
      <w:pgMar w:top="1701" w:right="1440" w:bottom="1440" w:left="1134" w:header="510"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26E69" w14:textId="77777777" w:rsidR="00D30135" w:rsidRDefault="00D30135" w:rsidP="00A62BF3">
      <w:pPr>
        <w:spacing w:after="0" w:line="240" w:lineRule="auto"/>
      </w:pPr>
      <w:r>
        <w:separator/>
      </w:r>
    </w:p>
  </w:endnote>
  <w:endnote w:type="continuationSeparator" w:id="0">
    <w:p w14:paraId="08526854" w14:textId="77777777" w:rsidR="00D30135" w:rsidRDefault="00D30135" w:rsidP="00A6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Light">
    <w:altName w:val="Arial"/>
    <w:panose1 w:val="00000000000000000000"/>
    <w:charset w:val="00"/>
    <w:family w:val="modern"/>
    <w:notTrueType/>
    <w:pitch w:val="variable"/>
    <w:sig w:usb0="A00000FF" w:usb1="4000004A" w:usb2="00000000" w:usb3="00000000" w:csb0="0000000B"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5630" w14:textId="7C85271B" w:rsidR="00A34839" w:rsidRDefault="00A34839" w:rsidP="005627AA">
    <w:pPr>
      <w:pStyle w:val="Piedepgina"/>
      <w:pBdr>
        <w:bottom w:val="single" w:sz="12" w:space="1" w:color="auto"/>
      </w:pBdr>
      <w:tabs>
        <w:tab w:val="clear" w:pos="4680"/>
        <w:tab w:val="clear" w:pos="9360"/>
        <w:tab w:val="left" w:pos="1869"/>
        <w:tab w:val="left" w:pos="6189"/>
      </w:tabs>
      <w:jc w:val="center"/>
      <w:rPr>
        <w:color w:val="2F5496" w:themeColor="accent1" w:themeShade="BF"/>
        <w:lang w:val="es-ES"/>
      </w:rPr>
    </w:pPr>
  </w:p>
  <w:p w14:paraId="1E8C8538" w14:textId="6D4E40F6" w:rsidR="005627AA" w:rsidRPr="00A34839" w:rsidRDefault="00A34839" w:rsidP="005627AA">
    <w:pPr>
      <w:pStyle w:val="Piedepgina"/>
      <w:tabs>
        <w:tab w:val="clear" w:pos="4680"/>
        <w:tab w:val="clear" w:pos="9360"/>
        <w:tab w:val="left" w:pos="1869"/>
        <w:tab w:val="left" w:pos="6189"/>
      </w:tabs>
      <w:jc w:val="center"/>
      <w:rPr>
        <w:lang w:val="es-ES"/>
      </w:rPr>
    </w:pPr>
    <w:r w:rsidRPr="00A34839">
      <w:rPr>
        <w:rFonts w:ascii="Gotham Light" w:hAnsi="Gotham Light" w:cs="Calibri,Bold"/>
        <w:b/>
        <w:bCs/>
        <w:sz w:val="16"/>
        <w:szCs w:val="16"/>
        <w:lang w:val="es-E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B86DB" w14:textId="77777777" w:rsidR="00D30135" w:rsidRDefault="00D30135" w:rsidP="00A62BF3">
      <w:pPr>
        <w:spacing w:after="0" w:line="240" w:lineRule="auto"/>
      </w:pPr>
      <w:r>
        <w:separator/>
      </w:r>
    </w:p>
  </w:footnote>
  <w:footnote w:type="continuationSeparator" w:id="0">
    <w:p w14:paraId="5D1D74E8" w14:textId="77777777" w:rsidR="00D30135" w:rsidRDefault="00D30135" w:rsidP="00A6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7D4A" w14:textId="77777777" w:rsidR="00263CD6" w:rsidRDefault="00263CD6" w:rsidP="00263CD6">
    <w:pPr>
      <w:pStyle w:val="Piedepgina"/>
      <w:tabs>
        <w:tab w:val="clear" w:pos="4680"/>
        <w:tab w:val="clear" w:pos="9360"/>
        <w:tab w:val="left" w:pos="1869"/>
        <w:tab w:val="left" w:pos="6189"/>
      </w:tabs>
      <w:jc w:val="center"/>
      <w:rPr>
        <w:i/>
        <w:sz w:val="18"/>
        <w:szCs w:val="18"/>
        <w:lang w:val="es-ES"/>
      </w:rPr>
    </w:pPr>
    <w:r>
      <w:rPr>
        <w:noProof/>
        <w:lang w:val="es-ES" w:eastAsia="es-ES"/>
      </w:rPr>
      <w:drawing>
        <wp:anchor distT="0" distB="0" distL="114300" distR="114300" simplePos="0" relativeHeight="251661312" behindDoc="0" locked="0" layoutInCell="1" allowOverlap="1" wp14:anchorId="048DB754" wp14:editId="39181ECF">
          <wp:simplePos x="0" y="0"/>
          <wp:positionH relativeFrom="column">
            <wp:posOffset>4518660</wp:posOffset>
          </wp:positionH>
          <wp:positionV relativeFrom="paragraph">
            <wp:posOffset>104775</wp:posOffset>
          </wp:positionV>
          <wp:extent cx="1752600" cy="38163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752600" cy="381635"/>
                  </a:xfrm>
                  <a:prstGeom prst="rect">
                    <a:avLst/>
                  </a:prstGeom>
                </pic:spPr>
              </pic:pic>
            </a:graphicData>
          </a:graphic>
        </wp:anchor>
      </w:drawing>
    </w:r>
    <w:r>
      <w:rPr>
        <w:noProof/>
        <w:lang w:val="es-ES" w:eastAsia="es-ES"/>
      </w:rPr>
      <w:drawing>
        <wp:anchor distT="0" distB="0" distL="114300" distR="114300" simplePos="0" relativeHeight="251662336" behindDoc="0" locked="0" layoutInCell="1" allowOverlap="1" wp14:anchorId="310F08D3" wp14:editId="656A20B9">
          <wp:simplePos x="0" y="0"/>
          <wp:positionH relativeFrom="column">
            <wp:posOffset>3223260</wp:posOffset>
          </wp:positionH>
          <wp:positionV relativeFrom="paragraph">
            <wp:posOffset>91440</wp:posOffset>
          </wp:positionV>
          <wp:extent cx="896620" cy="412750"/>
          <wp:effectExtent l="0" t="0" r="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20" cy="412750"/>
                  </a:xfrm>
                  <a:prstGeom prst="rect">
                    <a:avLst/>
                  </a:prstGeom>
                  <a:noFill/>
                </pic:spPr>
              </pic:pic>
            </a:graphicData>
          </a:graphic>
        </wp:anchor>
      </w:drawing>
    </w:r>
    <w:r w:rsidRPr="00F862B9">
      <w:rPr>
        <w:noProof/>
        <w:lang w:val="es-ES" w:eastAsia="es-ES"/>
      </w:rPr>
      <w:drawing>
        <wp:anchor distT="0" distB="0" distL="114300" distR="114300" simplePos="0" relativeHeight="251663360" behindDoc="0" locked="0" layoutInCell="1" allowOverlap="1" wp14:anchorId="26377073" wp14:editId="4967724D">
          <wp:simplePos x="0" y="0"/>
          <wp:positionH relativeFrom="column">
            <wp:posOffset>2194560</wp:posOffset>
          </wp:positionH>
          <wp:positionV relativeFrom="paragraph">
            <wp:posOffset>66675</wp:posOffset>
          </wp:positionV>
          <wp:extent cx="762000" cy="437515"/>
          <wp:effectExtent l="0" t="0" r="0" b="635"/>
          <wp:wrapTopAndBottom/>
          <wp:docPr id="16" name="Imagen 5" descr="U:\Plantillas\LOGOS INFO\Nuevo Logo INFO.png"/>
          <wp:cNvGraphicFramePr/>
          <a:graphic xmlns:a="http://schemas.openxmlformats.org/drawingml/2006/main">
            <a:graphicData uri="http://schemas.openxmlformats.org/drawingml/2006/picture">
              <pic:pic xmlns:pic="http://schemas.openxmlformats.org/drawingml/2006/picture">
                <pic:nvPicPr>
                  <pic:cNvPr id="2085" name="Picture 38" descr="U:\Plantillas\LOGOS INFO\Nuevo Logo INF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437515"/>
                  </a:xfrm>
                  <a:prstGeom prst="rect">
                    <a:avLst/>
                  </a:prstGeom>
                  <a:noFill/>
                  <a:ln w="9525">
                    <a:noFill/>
                    <a:miter lim="800000"/>
                    <a:headEnd/>
                    <a:tailEnd/>
                  </a:ln>
                </pic:spPr>
              </pic:pic>
            </a:graphicData>
          </a:graphic>
        </wp:anchor>
      </w:drawing>
    </w:r>
    <w:r w:rsidRPr="00F862B9">
      <w:rPr>
        <w:noProof/>
        <w:lang w:val="es-ES" w:eastAsia="es-ES"/>
      </w:rPr>
      <w:drawing>
        <wp:anchor distT="0" distB="0" distL="114300" distR="114300" simplePos="0" relativeHeight="251664384" behindDoc="0" locked="0" layoutInCell="1" allowOverlap="1" wp14:anchorId="6E3065BB" wp14:editId="53911AE4">
          <wp:simplePos x="0" y="0"/>
          <wp:positionH relativeFrom="column">
            <wp:posOffset>975360</wp:posOffset>
          </wp:positionH>
          <wp:positionV relativeFrom="paragraph">
            <wp:posOffset>28575</wp:posOffset>
          </wp:positionV>
          <wp:extent cx="838200" cy="485775"/>
          <wp:effectExtent l="0" t="0" r="0" b="9525"/>
          <wp:wrapTopAndBottom/>
          <wp:docPr id="14" name="Imagen 3" descr="CARM- logonuevo"/>
          <wp:cNvGraphicFramePr/>
          <a:graphic xmlns:a="http://schemas.openxmlformats.org/drawingml/2006/main">
            <a:graphicData uri="http://schemas.openxmlformats.org/drawingml/2006/picture">
              <pic:pic xmlns:pic="http://schemas.openxmlformats.org/drawingml/2006/picture">
                <pic:nvPicPr>
                  <pic:cNvPr id="30" name="Picture 36" descr="CARM- logonuev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485775"/>
                  </a:xfrm>
                  <a:prstGeom prst="rect">
                    <a:avLst/>
                  </a:prstGeom>
                  <a:noFill/>
                  <a:ln w="9525">
                    <a:noFill/>
                    <a:miter lim="800000"/>
                    <a:headEnd/>
                    <a:tailEnd/>
                  </a:ln>
                </pic:spPr>
              </pic:pic>
            </a:graphicData>
          </a:graphic>
        </wp:anchor>
      </w:drawing>
    </w:r>
    <w:r w:rsidR="005016CC">
      <w:rPr>
        <w:noProof/>
        <w:lang w:val="es-ES" w:eastAsia="es-ES"/>
      </w:rPr>
      <w:drawing>
        <wp:anchor distT="0" distB="0" distL="114300" distR="114300" simplePos="0" relativeHeight="251660288" behindDoc="0" locked="0" layoutInCell="1" allowOverlap="1" wp14:anchorId="09D21A36" wp14:editId="7818935B">
          <wp:simplePos x="0" y="0"/>
          <wp:positionH relativeFrom="column">
            <wp:posOffset>44450</wp:posOffset>
          </wp:positionH>
          <wp:positionV relativeFrom="page">
            <wp:posOffset>334010</wp:posOffset>
          </wp:positionV>
          <wp:extent cx="697865" cy="587375"/>
          <wp:effectExtent l="0" t="0" r="6985"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865" cy="587375"/>
                  </a:xfrm>
                  <a:prstGeom prst="rect">
                    <a:avLst/>
                  </a:prstGeom>
                  <a:noFill/>
                </pic:spPr>
              </pic:pic>
            </a:graphicData>
          </a:graphic>
          <wp14:sizeRelH relativeFrom="margin">
            <wp14:pctWidth>0</wp14:pctWidth>
          </wp14:sizeRelH>
          <wp14:sizeRelV relativeFrom="margin">
            <wp14:pctHeight>0</wp14:pctHeight>
          </wp14:sizeRelV>
        </wp:anchor>
      </w:drawing>
    </w:r>
    <w:sdt>
      <w:sdtPr>
        <w:rPr>
          <w:noProof/>
        </w:rPr>
        <w:id w:val="-776863408"/>
        <w:docPartObj>
          <w:docPartGallery w:val="Page Numbers (Margins)"/>
          <w:docPartUnique/>
        </w:docPartObj>
      </w:sdtPr>
      <w:sdtEndPr/>
      <w:sdtContent>
        <w:r w:rsidR="00E04EB5">
          <w:rPr>
            <w:noProof/>
            <w:lang w:val="es-ES" w:eastAsia="es-ES"/>
          </w:rPr>
          <mc:AlternateContent>
            <mc:Choice Requires="wps">
              <w:drawing>
                <wp:anchor distT="0" distB="0" distL="114300" distR="114300" simplePos="0" relativeHeight="251659264" behindDoc="0" locked="0" layoutInCell="0" allowOverlap="1" wp14:anchorId="3EBAEC7B" wp14:editId="240EFDEE">
                  <wp:simplePos x="0" y="0"/>
                  <wp:positionH relativeFrom="rightMargin">
                    <wp:align>center</wp:align>
                  </wp:positionH>
                  <wp:positionV relativeFrom="margin">
                    <wp:align>bottom</wp:align>
                  </wp:positionV>
                  <wp:extent cx="532765" cy="21831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88531" w14:textId="4B53BAA0" w:rsidR="00253592" w:rsidRDefault="00253592">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sidR="005F2BCA">
                                <w:rPr>
                                  <w:rFonts w:eastAsiaTheme="minorEastAsia" w:cs="Times New Roman"/>
                                </w:rPr>
                                <w:fldChar w:fldCharType="begin"/>
                              </w:r>
                              <w:r>
                                <w:instrText xml:space="preserve"> PAGE    \* MERGEFORMAT </w:instrText>
                              </w:r>
                              <w:r w:rsidR="005F2BCA">
                                <w:rPr>
                                  <w:rFonts w:eastAsiaTheme="minorEastAsia" w:cs="Times New Roman"/>
                                </w:rPr>
                                <w:fldChar w:fldCharType="separate"/>
                              </w:r>
                              <w:r w:rsidR="00315E8C" w:rsidRPr="00315E8C">
                                <w:rPr>
                                  <w:rFonts w:asciiTheme="majorHAnsi" w:eastAsiaTheme="majorEastAsia" w:hAnsiTheme="majorHAnsi" w:cstheme="majorBidi"/>
                                  <w:noProof/>
                                  <w:sz w:val="44"/>
                                  <w:szCs w:val="44"/>
                                </w:rPr>
                                <w:t>1</w:t>
                              </w:r>
                              <w:r w:rsidR="005F2BCA">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EBAEC7B" id="Rectangle 11" o:spid="_x0000_s1026" style="position:absolute;left:0;text-align:left;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CWtgIAALc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" o:allowincell="f" filled="f" stroked="f">
                  <v:textbox style="layout-flow:vertical;mso-layout-flow-alt:bottom-to-top;mso-fit-shape-to-text:t">
                    <w:txbxContent>
                      <w:p w14:paraId="2C388531" w14:textId="4B53BAA0" w:rsidR="00253592" w:rsidRDefault="00253592">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sidR="005F2BCA">
                          <w:rPr>
                            <w:rFonts w:eastAsiaTheme="minorEastAsia" w:cs="Times New Roman"/>
                          </w:rPr>
                          <w:fldChar w:fldCharType="begin"/>
                        </w:r>
                        <w:r>
                          <w:instrText xml:space="preserve"> PAGE    \* MERGEFORMAT </w:instrText>
                        </w:r>
                        <w:r w:rsidR="005F2BCA">
                          <w:rPr>
                            <w:rFonts w:eastAsiaTheme="minorEastAsia" w:cs="Times New Roman"/>
                          </w:rPr>
                          <w:fldChar w:fldCharType="separate"/>
                        </w:r>
                        <w:r w:rsidR="00315E8C" w:rsidRPr="00315E8C">
                          <w:rPr>
                            <w:rFonts w:asciiTheme="majorHAnsi" w:eastAsiaTheme="majorEastAsia" w:hAnsiTheme="majorHAnsi" w:cstheme="majorBidi"/>
                            <w:noProof/>
                            <w:sz w:val="44"/>
                            <w:szCs w:val="44"/>
                          </w:rPr>
                          <w:t>1</w:t>
                        </w:r>
                        <w:r w:rsidR="005F2BCA">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016CC">
      <w:rPr>
        <w:noProof/>
        <w:lang w:val="es-ES" w:eastAsia="es-ES"/>
      </w:rPr>
      <w:t xml:space="preserve">                      </w:t>
    </w:r>
    <w:r w:rsidR="00BF6DA2">
      <w:rPr>
        <w:noProof/>
        <w:lang w:val="es-ES" w:eastAsia="es-ES"/>
      </w:rPr>
      <w:t xml:space="preserve">       </w:t>
    </w:r>
    <w:r w:rsidR="005016CC">
      <w:rPr>
        <w:i/>
        <w:sz w:val="18"/>
        <w:szCs w:val="18"/>
        <w:lang w:val="es-ES"/>
      </w:rPr>
      <w:t xml:space="preserve">                            </w:t>
    </w:r>
  </w:p>
  <w:p w14:paraId="127986F5" w14:textId="0E2AE36B" w:rsidR="005016CC" w:rsidRDefault="005016CC" w:rsidP="00263CD6">
    <w:pPr>
      <w:pStyle w:val="Piedepgina"/>
      <w:tabs>
        <w:tab w:val="clear" w:pos="4680"/>
        <w:tab w:val="clear" w:pos="9360"/>
        <w:tab w:val="left" w:pos="1869"/>
        <w:tab w:val="left" w:pos="6189"/>
      </w:tabs>
      <w:jc w:val="center"/>
      <w:rPr>
        <w:i/>
        <w:sz w:val="18"/>
        <w:szCs w:val="18"/>
        <w:lang w:val="es-ES"/>
      </w:rPr>
    </w:pPr>
    <w:r>
      <w:rPr>
        <w:i/>
        <w:sz w:val="18"/>
        <w:szCs w:val="18"/>
        <w:lang w:val="es-ES"/>
      </w:rPr>
      <w:t xml:space="preserve">  </w:t>
    </w:r>
    <w:r w:rsidR="00263CD6" w:rsidRPr="00A34839">
      <w:rPr>
        <w:rFonts w:ascii="Gotham Light" w:hAnsi="Gotham Light" w:cs="Calibri,Bold"/>
        <w:b/>
        <w:bCs/>
        <w:sz w:val="16"/>
        <w:szCs w:val="16"/>
        <w:lang w:val="es-ES"/>
      </w:rPr>
      <w:t>“Una manera de hacer Europa</w:t>
    </w:r>
    <w:r w:rsidR="00263CD6">
      <w:rPr>
        <w:rFonts w:ascii="Gotham Light" w:hAnsi="Gotham Light" w:cs="Calibri,Bold"/>
        <w:b/>
        <w:bCs/>
        <w:sz w:val="16"/>
        <w:szCs w:val="16"/>
        <w:lang w:val="es-ES"/>
      </w:rPr>
      <w:t xml:space="preserve">” </w:t>
    </w:r>
    <w:r w:rsidR="00263CD6" w:rsidRPr="00A34839">
      <w:rPr>
        <w:rFonts w:ascii="Gotham Light" w:hAnsi="Gotham Light" w:cs="Calibri,Bold"/>
        <w:b/>
        <w:bCs/>
        <w:sz w:val="16"/>
        <w:szCs w:val="16"/>
        <w:lang w:val="es-ES"/>
      </w:rPr>
      <w:t>FONDO EUROPEO DE DESARROLLO REGIONAL</w:t>
    </w:r>
  </w:p>
  <w:p w14:paraId="5B3B28D0" w14:textId="192EE75B" w:rsidR="005016CC" w:rsidRPr="005627AA" w:rsidRDefault="005016CC" w:rsidP="005016CC">
    <w:pPr>
      <w:pStyle w:val="Encabezado"/>
      <w:jc w:val="both"/>
      <w:rPr>
        <w:i/>
        <w:color w:val="2F5496" w:themeColor="accent1" w:themeShade="BF"/>
        <w:sz w:val="18"/>
        <w:szCs w:val="18"/>
        <w:lang w:val="es-ES"/>
      </w:rPr>
    </w:pPr>
    <w:r w:rsidRPr="005627AA">
      <w:rPr>
        <w:i/>
        <w:color w:val="2F5496" w:themeColor="accent1" w:themeShade="BF"/>
        <w:sz w:val="18"/>
        <w:szCs w:val="18"/>
        <w:lang w:val="es-E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0A78"/>
    <w:multiLevelType w:val="hybridMultilevel"/>
    <w:tmpl w:val="C342433E"/>
    <w:lvl w:ilvl="0" w:tplc="FEB4D7F8">
      <w:start w:val="1"/>
      <w:numFmt w:val="lowerLetter"/>
      <w:lvlText w:val="%1."/>
      <w:lvlJc w:val="left"/>
      <w:pPr>
        <w:ind w:left="495" w:hanging="360"/>
      </w:pPr>
      <w:rPr>
        <w:rFonts w:eastAsiaTheme="minorHAnsi" w:hint="default"/>
        <w:color w:val="222222"/>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1" w15:restartNumberingAfterBreak="0">
    <w:nsid w:val="13403A16"/>
    <w:multiLevelType w:val="hybridMultilevel"/>
    <w:tmpl w:val="2348F8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5A1DDA"/>
    <w:multiLevelType w:val="hybridMultilevel"/>
    <w:tmpl w:val="CD5C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9429D"/>
    <w:multiLevelType w:val="hybridMultilevel"/>
    <w:tmpl w:val="739CB8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CA45BD"/>
    <w:multiLevelType w:val="hybridMultilevel"/>
    <w:tmpl w:val="59BA8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B13EE0"/>
    <w:multiLevelType w:val="hybridMultilevel"/>
    <w:tmpl w:val="D5F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E3B4A"/>
    <w:multiLevelType w:val="hybridMultilevel"/>
    <w:tmpl w:val="A37A0DF0"/>
    <w:lvl w:ilvl="0" w:tplc="0409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21655A9"/>
    <w:multiLevelType w:val="hybridMultilevel"/>
    <w:tmpl w:val="B11291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EE51A3"/>
    <w:multiLevelType w:val="hybridMultilevel"/>
    <w:tmpl w:val="EE420AB4"/>
    <w:lvl w:ilvl="0" w:tplc="6074C7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316A9"/>
    <w:multiLevelType w:val="hybridMultilevel"/>
    <w:tmpl w:val="E3E4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651E0"/>
    <w:multiLevelType w:val="hybridMultilevel"/>
    <w:tmpl w:val="A44ED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C2B61"/>
    <w:multiLevelType w:val="hybridMultilevel"/>
    <w:tmpl w:val="58E6CB4E"/>
    <w:lvl w:ilvl="0" w:tplc="6562C19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6E626753"/>
    <w:multiLevelType w:val="hybridMultilevel"/>
    <w:tmpl w:val="3154B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A35D4"/>
    <w:multiLevelType w:val="hybridMultilevel"/>
    <w:tmpl w:val="75526DE0"/>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0"/>
  </w:num>
  <w:num w:numId="2">
    <w:abstractNumId w:val="12"/>
  </w:num>
  <w:num w:numId="3">
    <w:abstractNumId w:val="13"/>
  </w:num>
  <w:num w:numId="4">
    <w:abstractNumId w:val="11"/>
  </w:num>
  <w:num w:numId="5">
    <w:abstractNumId w:val="8"/>
  </w:num>
  <w:num w:numId="6">
    <w:abstractNumId w:val="1"/>
  </w:num>
  <w:num w:numId="7">
    <w:abstractNumId w:val="7"/>
  </w:num>
  <w:num w:numId="8">
    <w:abstractNumId w:val="0"/>
  </w:num>
  <w:num w:numId="9">
    <w:abstractNumId w:val="3"/>
  </w:num>
  <w:num w:numId="10">
    <w:abstractNumId w:val="6"/>
  </w:num>
  <w:num w:numId="11">
    <w:abstractNumId w:val="4"/>
  </w:num>
  <w:num w:numId="12">
    <w:abstractNumId w:val="9"/>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84"/>
    <w:rsid w:val="00016F1A"/>
    <w:rsid w:val="000417DB"/>
    <w:rsid w:val="00064A91"/>
    <w:rsid w:val="000A410C"/>
    <w:rsid w:val="000D50B2"/>
    <w:rsid w:val="00111868"/>
    <w:rsid w:val="00115DE3"/>
    <w:rsid w:val="00121F6D"/>
    <w:rsid w:val="001729C2"/>
    <w:rsid w:val="00173055"/>
    <w:rsid w:val="00193C86"/>
    <w:rsid w:val="001949AE"/>
    <w:rsid w:val="001B4506"/>
    <w:rsid w:val="001C4D14"/>
    <w:rsid w:val="001F3784"/>
    <w:rsid w:val="0020073E"/>
    <w:rsid w:val="00226C5D"/>
    <w:rsid w:val="00253592"/>
    <w:rsid w:val="00253658"/>
    <w:rsid w:val="00263CD6"/>
    <w:rsid w:val="002712E5"/>
    <w:rsid w:val="00271D96"/>
    <w:rsid w:val="00275A73"/>
    <w:rsid w:val="0028624D"/>
    <w:rsid w:val="00286956"/>
    <w:rsid w:val="00287665"/>
    <w:rsid w:val="00296F7F"/>
    <w:rsid w:val="002B6FC4"/>
    <w:rsid w:val="002C2E9B"/>
    <w:rsid w:val="00302429"/>
    <w:rsid w:val="00315E8C"/>
    <w:rsid w:val="003163D3"/>
    <w:rsid w:val="00320E45"/>
    <w:rsid w:val="0033480A"/>
    <w:rsid w:val="00363692"/>
    <w:rsid w:val="00370A71"/>
    <w:rsid w:val="00375FE7"/>
    <w:rsid w:val="00376C8A"/>
    <w:rsid w:val="00376FBD"/>
    <w:rsid w:val="00385717"/>
    <w:rsid w:val="003B6FBB"/>
    <w:rsid w:val="003D06E2"/>
    <w:rsid w:val="003E1009"/>
    <w:rsid w:val="003E463B"/>
    <w:rsid w:val="003E498B"/>
    <w:rsid w:val="003F40A4"/>
    <w:rsid w:val="00407F34"/>
    <w:rsid w:val="00434537"/>
    <w:rsid w:val="00457D3F"/>
    <w:rsid w:val="0046484F"/>
    <w:rsid w:val="004718B7"/>
    <w:rsid w:val="00480AE0"/>
    <w:rsid w:val="00486E6E"/>
    <w:rsid w:val="00494F05"/>
    <w:rsid w:val="004957E5"/>
    <w:rsid w:val="004B111B"/>
    <w:rsid w:val="004B66CD"/>
    <w:rsid w:val="004C557F"/>
    <w:rsid w:val="004D36A8"/>
    <w:rsid w:val="004D3B7D"/>
    <w:rsid w:val="004D4F5C"/>
    <w:rsid w:val="004F2B1C"/>
    <w:rsid w:val="005016CC"/>
    <w:rsid w:val="005105B2"/>
    <w:rsid w:val="005165AA"/>
    <w:rsid w:val="0052277A"/>
    <w:rsid w:val="00562477"/>
    <w:rsid w:val="005627AA"/>
    <w:rsid w:val="00565ABE"/>
    <w:rsid w:val="00572A15"/>
    <w:rsid w:val="005D118E"/>
    <w:rsid w:val="005F172C"/>
    <w:rsid w:val="005F2BCA"/>
    <w:rsid w:val="00602471"/>
    <w:rsid w:val="00612340"/>
    <w:rsid w:val="006411A0"/>
    <w:rsid w:val="00644268"/>
    <w:rsid w:val="00660412"/>
    <w:rsid w:val="006B200C"/>
    <w:rsid w:val="006D567B"/>
    <w:rsid w:val="006D6D17"/>
    <w:rsid w:val="006E1681"/>
    <w:rsid w:val="006E68F1"/>
    <w:rsid w:val="006F7DF0"/>
    <w:rsid w:val="0074226B"/>
    <w:rsid w:val="00766FE7"/>
    <w:rsid w:val="007860AA"/>
    <w:rsid w:val="007A325A"/>
    <w:rsid w:val="007A3F79"/>
    <w:rsid w:val="007A6362"/>
    <w:rsid w:val="007C4384"/>
    <w:rsid w:val="007C6153"/>
    <w:rsid w:val="007D0FD9"/>
    <w:rsid w:val="007D2953"/>
    <w:rsid w:val="007F4801"/>
    <w:rsid w:val="00856B1F"/>
    <w:rsid w:val="00873080"/>
    <w:rsid w:val="00891A42"/>
    <w:rsid w:val="008A2371"/>
    <w:rsid w:val="008A351C"/>
    <w:rsid w:val="008B120D"/>
    <w:rsid w:val="008C5978"/>
    <w:rsid w:val="008D24BE"/>
    <w:rsid w:val="008D7381"/>
    <w:rsid w:val="008E6C65"/>
    <w:rsid w:val="009055AE"/>
    <w:rsid w:val="00914BCA"/>
    <w:rsid w:val="00962654"/>
    <w:rsid w:val="00984B6B"/>
    <w:rsid w:val="00993CF6"/>
    <w:rsid w:val="009A1FAF"/>
    <w:rsid w:val="009A2C9A"/>
    <w:rsid w:val="009C1621"/>
    <w:rsid w:val="009C516F"/>
    <w:rsid w:val="009E6F5A"/>
    <w:rsid w:val="009F7789"/>
    <w:rsid w:val="00A0672E"/>
    <w:rsid w:val="00A32EEE"/>
    <w:rsid w:val="00A34839"/>
    <w:rsid w:val="00A55B35"/>
    <w:rsid w:val="00A62BF3"/>
    <w:rsid w:val="00A67EFB"/>
    <w:rsid w:val="00AE213D"/>
    <w:rsid w:val="00B03867"/>
    <w:rsid w:val="00B251A8"/>
    <w:rsid w:val="00B63E5B"/>
    <w:rsid w:val="00BC1245"/>
    <w:rsid w:val="00BF6DA2"/>
    <w:rsid w:val="00C40AE0"/>
    <w:rsid w:val="00C4516F"/>
    <w:rsid w:val="00C63229"/>
    <w:rsid w:val="00C87187"/>
    <w:rsid w:val="00CC3FB3"/>
    <w:rsid w:val="00CF37AB"/>
    <w:rsid w:val="00D26015"/>
    <w:rsid w:val="00D30135"/>
    <w:rsid w:val="00D30711"/>
    <w:rsid w:val="00D36E89"/>
    <w:rsid w:val="00D56E9E"/>
    <w:rsid w:val="00D664C5"/>
    <w:rsid w:val="00D6751C"/>
    <w:rsid w:val="00D76852"/>
    <w:rsid w:val="00D87576"/>
    <w:rsid w:val="00D92CFE"/>
    <w:rsid w:val="00D931E7"/>
    <w:rsid w:val="00DB01D7"/>
    <w:rsid w:val="00DC4A42"/>
    <w:rsid w:val="00DD0A85"/>
    <w:rsid w:val="00E00B18"/>
    <w:rsid w:val="00E04EB5"/>
    <w:rsid w:val="00E06605"/>
    <w:rsid w:val="00E1182B"/>
    <w:rsid w:val="00E22AD0"/>
    <w:rsid w:val="00E32C7F"/>
    <w:rsid w:val="00E4096A"/>
    <w:rsid w:val="00E50871"/>
    <w:rsid w:val="00E509EA"/>
    <w:rsid w:val="00E70613"/>
    <w:rsid w:val="00E72BCB"/>
    <w:rsid w:val="00E7355D"/>
    <w:rsid w:val="00E7525E"/>
    <w:rsid w:val="00EB7320"/>
    <w:rsid w:val="00F160E7"/>
    <w:rsid w:val="00F24263"/>
    <w:rsid w:val="00F630D3"/>
    <w:rsid w:val="00F63C20"/>
    <w:rsid w:val="00F862B9"/>
    <w:rsid w:val="00F90331"/>
    <w:rsid w:val="00F9485C"/>
    <w:rsid w:val="00F95F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7F74B"/>
  <w15:docId w15:val="{BB1DCCAD-E489-49BC-BD07-0DD76D69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2B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62BF3"/>
  </w:style>
  <w:style w:type="paragraph" w:styleId="Piedepgina">
    <w:name w:val="footer"/>
    <w:basedOn w:val="Normal"/>
    <w:link w:val="PiedepginaCar"/>
    <w:uiPriority w:val="99"/>
    <w:unhideWhenUsed/>
    <w:rsid w:val="00A62B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62BF3"/>
  </w:style>
  <w:style w:type="paragraph" w:styleId="Prrafodelista">
    <w:name w:val="List Paragraph"/>
    <w:basedOn w:val="Normal"/>
    <w:uiPriority w:val="34"/>
    <w:qFormat/>
    <w:rsid w:val="00A62BF3"/>
    <w:pPr>
      <w:ind w:left="720"/>
      <w:contextualSpacing/>
    </w:pPr>
  </w:style>
  <w:style w:type="paragraph" w:styleId="Textodeglobo">
    <w:name w:val="Balloon Text"/>
    <w:basedOn w:val="Normal"/>
    <w:link w:val="TextodegloboCar"/>
    <w:uiPriority w:val="99"/>
    <w:semiHidden/>
    <w:unhideWhenUsed/>
    <w:rsid w:val="00370A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A71"/>
    <w:rPr>
      <w:rFonts w:ascii="Tahoma" w:hAnsi="Tahoma" w:cs="Tahoma"/>
      <w:sz w:val="16"/>
      <w:szCs w:val="16"/>
    </w:rPr>
  </w:style>
  <w:style w:type="character" w:styleId="Hipervnculo">
    <w:name w:val="Hyperlink"/>
    <w:basedOn w:val="Fuentedeprrafopredeter"/>
    <w:uiPriority w:val="99"/>
    <w:unhideWhenUsed/>
    <w:rsid w:val="0074226B"/>
    <w:rPr>
      <w:color w:val="0563C1" w:themeColor="hyperlink"/>
      <w:u w:val="single"/>
    </w:rPr>
  </w:style>
  <w:style w:type="character" w:customStyle="1" w:styleId="UnresolvedMention">
    <w:name w:val="Unresolved Mention"/>
    <w:basedOn w:val="Fuentedeprrafopredeter"/>
    <w:uiPriority w:val="99"/>
    <w:semiHidden/>
    <w:unhideWhenUsed/>
    <w:rsid w:val="00742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2980">
      <w:bodyDiv w:val="1"/>
      <w:marLeft w:val="0"/>
      <w:marRight w:val="0"/>
      <w:marTop w:val="0"/>
      <w:marBottom w:val="0"/>
      <w:divBdr>
        <w:top w:val="none" w:sz="0" w:space="0" w:color="auto"/>
        <w:left w:val="none" w:sz="0" w:space="0" w:color="auto"/>
        <w:bottom w:val="none" w:sz="0" w:space="0" w:color="auto"/>
        <w:right w:val="none" w:sz="0" w:space="0" w:color="auto"/>
      </w:divBdr>
    </w:div>
    <w:div w:id="328484204">
      <w:bodyDiv w:val="1"/>
      <w:marLeft w:val="0"/>
      <w:marRight w:val="0"/>
      <w:marTop w:val="0"/>
      <w:marBottom w:val="0"/>
      <w:divBdr>
        <w:top w:val="none" w:sz="0" w:space="0" w:color="auto"/>
        <w:left w:val="none" w:sz="0" w:space="0" w:color="auto"/>
        <w:bottom w:val="none" w:sz="0" w:space="0" w:color="auto"/>
        <w:right w:val="none" w:sz="0" w:space="0" w:color="auto"/>
      </w:divBdr>
    </w:div>
    <w:div w:id="1917326473">
      <w:bodyDiv w:val="1"/>
      <w:marLeft w:val="0"/>
      <w:marRight w:val="0"/>
      <w:marTop w:val="0"/>
      <w:marBottom w:val="0"/>
      <w:divBdr>
        <w:top w:val="none" w:sz="0" w:space="0" w:color="auto"/>
        <w:left w:val="none" w:sz="0" w:space="0" w:color="auto"/>
        <w:bottom w:val="none" w:sz="0" w:space="0" w:color="auto"/>
        <w:right w:val="none" w:sz="0" w:space="0" w:color="auto"/>
      </w:divBdr>
    </w:div>
    <w:div w:id="19181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e@ctn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523</Words>
  <Characters>2882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Demos Global Group SL</dc:creator>
  <cp:lastModifiedBy>usuario</cp:lastModifiedBy>
  <cp:revision>8</cp:revision>
  <cp:lastPrinted>2019-01-22T09:21:00Z</cp:lastPrinted>
  <dcterms:created xsi:type="dcterms:W3CDTF">2022-07-29T11:32:00Z</dcterms:created>
  <dcterms:modified xsi:type="dcterms:W3CDTF">2022-08-22T06:37:00Z</dcterms:modified>
</cp:coreProperties>
</file>